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5382" w14:textId="77777777" w:rsidR="00504B46" w:rsidRDefault="00966938">
      <w:pPr>
        <w:pStyle w:val="Default"/>
        <w:spacing w:before="0" w:after="240" w:line="240" w:lineRule="auto"/>
        <w:rPr>
          <w:rFonts w:ascii="Times Roman" w:eastAsia="Times Roman" w:hAnsi="Times Roman" w:cs="Times Roman"/>
          <w:sz w:val="22"/>
          <w:szCs w:val="22"/>
        </w:rPr>
      </w:pPr>
      <w:r>
        <w:rPr>
          <w:rFonts w:ascii="Times Roman" w:hAnsi="Times Roman"/>
          <w:sz w:val="22"/>
          <w:szCs w:val="22"/>
        </w:rPr>
        <w:t>CFP</w:t>
      </w:r>
    </w:p>
    <w:p w14:paraId="23A447B1" w14:textId="77777777" w:rsidR="00504B46" w:rsidRDefault="00966938">
      <w:pPr>
        <w:pStyle w:val="Default"/>
        <w:spacing w:before="0" w:after="240" w:line="240" w:lineRule="auto"/>
        <w:rPr>
          <w:rFonts w:ascii="Times Roman" w:eastAsia="Times Roman" w:hAnsi="Times Roman" w:cs="Times Roman"/>
          <w:b/>
          <w:bCs/>
          <w:sz w:val="22"/>
          <w:szCs w:val="22"/>
        </w:rPr>
      </w:pPr>
      <w:r>
        <w:rPr>
          <w:rFonts w:ascii="Times Roman" w:hAnsi="Times Roman"/>
          <w:b/>
          <w:bCs/>
          <w:sz w:val="22"/>
          <w:szCs w:val="22"/>
        </w:rPr>
        <w:t>The Original in its Metamorphoses: Tracing the Translator in the Long Eighteenth Century (1660-1830)</w:t>
      </w:r>
    </w:p>
    <w:p w14:paraId="705F243F" w14:textId="107CDFD8" w:rsidR="00504B46" w:rsidRDefault="001160CE">
      <w:pPr>
        <w:pStyle w:val="Default"/>
        <w:spacing w:before="0" w:after="240" w:line="240" w:lineRule="auto"/>
        <w:rPr>
          <w:rFonts w:ascii="Times Roman" w:eastAsia="Times Roman" w:hAnsi="Times Roman" w:cs="Times Roman"/>
          <w:sz w:val="22"/>
          <w:szCs w:val="22"/>
        </w:rPr>
      </w:pPr>
      <w:r>
        <w:rPr>
          <w:rFonts w:ascii="Times Roman" w:hAnsi="Times Roman"/>
          <w:sz w:val="22"/>
          <w:szCs w:val="22"/>
        </w:rPr>
        <w:t>Ghent University,</w:t>
      </w:r>
      <w:r w:rsidR="00966938">
        <w:rPr>
          <w:rFonts w:ascii="Times Roman" w:hAnsi="Times Roman"/>
          <w:sz w:val="22"/>
          <w:szCs w:val="22"/>
        </w:rPr>
        <w:t xml:space="preserve"> 11 February 2022</w:t>
      </w:r>
    </w:p>
    <w:p w14:paraId="0CFE78A8" w14:textId="5205246D" w:rsidR="00504B46" w:rsidRPr="00700168" w:rsidRDefault="00966938">
      <w:pPr>
        <w:pStyle w:val="Default"/>
        <w:spacing w:before="0" w:after="240" w:line="240" w:lineRule="auto"/>
        <w:rPr>
          <w:rFonts w:ascii="Times Roman" w:eastAsia="Times Roman" w:hAnsi="Times Roman" w:cs="Times Roman"/>
          <w:sz w:val="22"/>
          <w:szCs w:val="22"/>
          <w:lang w:val="it-IT"/>
        </w:rPr>
      </w:pPr>
      <w:r w:rsidRPr="00700168">
        <w:rPr>
          <w:rFonts w:ascii="Times Roman" w:hAnsi="Times Roman"/>
          <w:sz w:val="22"/>
          <w:szCs w:val="22"/>
          <w:lang w:val="it-IT"/>
        </w:rPr>
        <w:t xml:space="preserve">Keynotes by </w:t>
      </w:r>
      <w:r w:rsidR="00700168" w:rsidRPr="00700168">
        <w:rPr>
          <w:rFonts w:ascii="Times Roman" w:hAnsi="Times Roman"/>
          <w:sz w:val="22"/>
          <w:szCs w:val="22"/>
          <w:lang w:val="it-IT"/>
        </w:rPr>
        <w:t>Luisa Simonutti (Ferrara)</w:t>
      </w:r>
      <w:r w:rsidR="00700168" w:rsidRPr="00700168">
        <w:rPr>
          <w:rFonts w:ascii="Times Roman" w:hAnsi="Times Roman"/>
          <w:sz w:val="22"/>
          <w:szCs w:val="22"/>
          <w:lang w:val="it-IT"/>
        </w:rPr>
        <w:t xml:space="preserve">, </w:t>
      </w:r>
      <w:r w:rsidRPr="00700168">
        <w:rPr>
          <w:rFonts w:ascii="Times Roman" w:hAnsi="Times Roman"/>
          <w:sz w:val="22"/>
          <w:szCs w:val="22"/>
          <w:lang w:val="it-IT"/>
        </w:rPr>
        <w:t>Patrick Leech (Bologna, Forlì), Yen-Mai Gervat (Sorbonne Nouvelle)</w:t>
      </w:r>
    </w:p>
    <w:p w14:paraId="19676A93" w14:textId="77777777" w:rsidR="00504B46" w:rsidRDefault="00966938">
      <w:pPr>
        <w:pStyle w:val="Default"/>
        <w:spacing w:before="0" w:after="240" w:line="240" w:lineRule="auto"/>
        <w:rPr>
          <w:rFonts w:ascii="Times Roman" w:eastAsia="Times Roman" w:hAnsi="Times Roman" w:cs="Times Roman"/>
          <w:sz w:val="22"/>
          <w:szCs w:val="22"/>
        </w:rPr>
      </w:pPr>
      <w:r>
        <w:rPr>
          <w:rFonts w:ascii="Times Roman" w:hAnsi="Times Roman"/>
          <w:sz w:val="22"/>
          <w:szCs w:val="22"/>
        </w:rPr>
        <w:t xml:space="preserve">Deadline for abstracts: </w:t>
      </w:r>
      <w:r>
        <w:rPr>
          <w:rFonts w:ascii="Times Roman" w:hAnsi="Times Roman"/>
          <w:b/>
          <w:bCs/>
          <w:sz w:val="22"/>
          <w:szCs w:val="22"/>
        </w:rPr>
        <w:t>15 December 2021</w:t>
      </w:r>
    </w:p>
    <w:p w14:paraId="2F703CF4" w14:textId="77777777" w:rsidR="00504B46" w:rsidRDefault="00966938">
      <w:pPr>
        <w:pStyle w:val="Default"/>
        <w:spacing w:before="0" w:after="240" w:line="240" w:lineRule="auto"/>
        <w:rPr>
          <w:rFonts w:ascii="Times Roman" w:eastAsia="Times Roman" w:hAnsi="Times Roman" w:cs="Times Roman"/>
          <w:sz w:val="22"/>
          <w:szCs w:val="22"/>
        </w:rPr>
      </w:pPr>
      <w:r>
        <w:rPr>
          <w:rFonts w:ascii="Times Roman" w:hAnsi="Times Roman"/>
          <w:sz w:val="22"/>
          <w:szCs w:val="22"/>
        </w:rPr>
        <w:t xml:space="preserve">Communication of results: </w:t>
      </w:r>
      <w:r>
        <w:rPr>
          <w:rFonts w:ascii="Times Roman" w:hAnsi="Times Roman"/>
          <w:b/>
          <w:bCs/>
          <w:sz w:val="22"/>
          <w:szCs w:val="22"/>
        </w:rPr>
        <w:t>7 January 2022</w:t>
      </w:r>
    </w:p>
    <w:p w14:paraId="7FDF3547" w14:textId="77777777" w:rsidR="00504B46" w:rsidRDefault="00966938">
      <w:pPr>
        <w:pStyle w:val="Default"/>
        <w:spacing w:before="0" w:after="240" w:line="240" w:lineRule="auto"/>
        <w:rPr>
          <w:rFonts w:ascii="Times Roman" w:eastAsia="Times Roman" w:hAnsi="Times Roman" w:cs="Times Roman"/>
          <w:sz w:val="22"/>
          <w:szCs w:val="22"/>
        </w:rPr>
      </w:pPr>
      <w:r>
        <w:rPr>
          <w:rFonts w:ascii="Times Roman" w:hAnsi="Times Roman"/>
          <w:sz w:val="22"/>
          <w:szCs w:val="22"/>
        </w:rPr>
        <w:t>The symposium aims to place front and centre an important theoretical and methodological question; that is, the textual presence of translators in their translations and the wider network of textual evidence that supports these translations; the recovery of these traces; and their analysis and interpretation. The symposium’s objective, then, is to throw new light on the (in)visibility of the translator by assessing how translators make themselves, or are made, (in)visible, and how critics and scholars of translation can trace these efforts. The conference hopes to pursue this theme across a variety of genres and cases, so as to explore the translator</w:t>
      </w:r>
      <w:r>
        <w:rPr>
          <w:rFonts w:ascii="Arial" w:hAnsi="Arial"/>
          <w:sz w:val="22"/>
          <w:szCs w:val="22"/>
          <w:rtl/>
        </w:rPr>
        <w:t>’</w:t>
      </w:r>
      <w:r>
        <w:rPr>
          <w:rFonts w:ascii="Times Roman" w:hAnsi="Times Roman"/>
          <w:sz w:val="22"/>
          <w:szCs w:val="22"/>
        </w:rPr>
        <w:t>s (in)visibility in print-cultural and textual terms, and provides a vital historicising contribution in specifically studying the transition from the early modern to the modern period and how this transition affected the presence of translators.</w:t>
      </w:r>
    </w:p>
    <w:p w14:paraId="310BE06D" w14:textId="77777777" w:rsidR="00504B46" w:rsidRDefault="00966938">
      <w:pPr>
        <w:pStyle w:val="Default"/>
        <w:spacing w:before="0" w:after="240" w:line="240" w:lineRule="auto"/>
        <w:rPr>
          <w:rFonts w:ascii="Times Roman" w:eastAsia="Times Roman" w:hAnsi="Times Roman" w:cs="Times Roman"/>
          <w:sz w:val="22"/>
          <w:szCs w:val="22"/>
        </w:rPr>
      </w:pPr>
      <w:r>
        <w:rPr>
          <w:rFonts w:ascii="Times Roman" w:hAnsi="Times Roman"/>
          <w:sz w:val="22"/>
          <w:szCs w:val="22"/>
        </w:rPr>
        <w:t>Questions which may be addressed by papers include the following:</w:t>
      </w:r>
    </w:p>
    <w:p w14:paraId="2FAD8459" w14:textId="77777777" w:rsidR="00504B46" w:rsidRDefault="00966938">
      <w:pPr>
        <w:pStyle w:val="Default"/>
        <w:numPr>
          <w:ilvl w:val="0"/>
          <w:numId w:val="1"/>
        </w:numPr>
        <w:spacing w:before="0" w:after="240" w:line="240" w:lineRule="auto"/>
        <w:rPr>
          <w:rFonts w:ascii="Times Roman" w:hAnsi="Times Roman"/>
          <w:sz w:val="22"/>
          <w:szCs w:val="22"/>
        </w:rPr>
      </w:pPr>
      <w:r>
        <w:rPr>
          <w:rFonts w:ascii="Times Roman" w:hAnsi="Times Roman"/>
          <w:sz w:val="22"/>
          <w:szCs w:val="22"/>
        </w:rPr>
        <w:t>What are the affiliations and relationships between translators and their editors, printers, publishers or booksellers?</w:t>
      </w:r>
    </w:p>
    <w:p w14:paraId="2EBB2080" w14:textId="77777777" w:rsidR="00504B46" w:rsidRDefault="00966938">
      <w:pPr>
        <w:pStyle w:val="Default"/>
        <w:numPr>
          <w:ilvl w:val="0"/>
          <w:numId w:val="1"/>
        </w:numPr>
        <w:spacing w:before="0" w:after="240" w:line="240" w:lineRule="auto"/>
        <w:rPr>
          <w:rFonts w:ascii="Times Roman" w:hAnsi="Times Roman"/>
          <w:sz w:val="22"/>
          <w:szCs w:val="22"/>
        </w:rPr>
      </w:pPr>
      <w:r>
        <w:rPr>
          <w:rFonts w:ascii="Times Roman" w:hAnsi="Times Roman"/>
          <w:sz w:val="22"/>
          <w:szCs w:val="22"/>
        </w:rPr>
        <w:t>Which factors or contexts impact on the anonymous status of translators, or, conversely, promote explicit references to their names?</w:t>
      </w:r>
    </w:p>
    <w:p w14:paraId="5BDAA3FE" w14:textId="77777777" w:rsidR="00504B46" w:rsidRDefault="00966938">
      <w:pPr>
        <w:pStyle w:val="Default"/>
        <w:numPr>
          <w:ilvl w:val="0"/>
          <w:numId w:val="1"/>
        </w:numPr>
        <w:spacing w:before="0" w:after="240" w:line="240" w:lineRule="auto"/>
        <w:rPr>
          <w:rFonts w:ascii="Times Roman" w:hAnsi="Times Roman"/>
          <w:sz w:val="22"/>
          <w:szCs w:val="22"/>
        </w:rPr>
      </w:pPr>
      <w:r>
        <w:rPr>
          <w:rFonts w:ascii="Times Roman" w:hAnsi="Times Roman"/>
          <w:sz w:val="22"/>
          <w:szCs w:val="22"/>
        </w:rPr>
        <w:t>What is the relationship between paratext and text in assessments of the translator’s (in)visibility?</w:t>
      </w:r>
    </w:p>
    <w:p w14:paraId="6DD22AC7" w14:textId="77777777" w:rsidR="00504B46" w:rsidRDefault="00966938">
      <w:pPr>
        <w:pStyle w:val="Default"/>
        <w:numPr>
          <w:ilvl w:val="0"/>
          <w:numId w:val="1"/>
        </w:numPr>
        <w:spacing w:before="0" w:after="240" w:line="240" w:lineRule="auto"/>
        <w:rPr>
          <w:rFonts w:ascii="Times Roman" w:hAnsi="Times Roman"/>
          <w:sz w:val="22"/>
          <w:szCs w:val="22"/>
        </w:rPr>
      </w:pPr>
      <w:r>
        <w:rPr>
          <w:rFonts w:ascii="Times Roman" w:hAnsi="Times Roman"/>
          <w:sz w:val="22"/>
          <w:szCs w:val="22"/>
        </w:rPr>
        <w:t>How can the explicit and implicit interventions of translators in the translated text be analysed and interpreted? What is the purpose and tone of these interventions?</w:t>
      </w:r>
    </w:p>
    <w:p w14:paraId="32BFF686" w14:textId="77777777" w:rsidR="00504B46" w:rsidRDefault="00966938">
      <w:pPr>
        <w:pStyle w:val="Default"/>
        <w:numPr>
          <w:ilvl w:val="0"/>
          <w:numId w:val="1"/>
        </w:numPr>
        <w:spacing w:before="0" w:after="240" w:line="240" w:lineRule="auto"/>
        <w:rPr>
          <w:rFonts w:ascii="Times Roman" w:hAnsi="Times Roman"/>
          <w:sz w:val="22"/>
          <w:szCs w:val="22"/>
        </w:rPr>
      </w:pPr>
      <w:r>
        <w:rPr>
          <w:rFonts w:ascii="Times Roman" w:hAnsi="Times Roman"/>
          <w:sz w:val="22"/>
          <w:szCs w:val="22"/>
        </w:rPr>
        <w:t>Do textual interventions by translators differ across genres or periods?</w:t>
      </w:r>
    </w:p>
    <w:p w14:paraId="0961519E" w14:textId="57A24D9C" w:rsidR="00504B46" w:rsidRDefault="00966938">
      <w:pPr>
        <w:pStyle w:val="Default"/>
        <w:spacing w:before="0" w:after="240" w:line="240" w:lineRule="auto"/>
        <w:rPr>
          <w:rFonts w:ascii="Times Roman" w:eastAsia="Times Roman" w:hAnsi="Times Roman" w:cs="Times Roman"/>
          <w:sz w:val="22"/>
          <w:szCs w:val="22"/>
        </w:rPr>
      </w:pPr>
      <w:r>
        <w:rPr>
          <w:rFonts w:ascii="Times Roman" w:hAnsi="Times Roman"/>
          <w:sz w:val="22"/>
          <w:szCs w:val="22"/>
        </w:rPr>
        <w:t xml:space="preserve">Abstracts should be max. 300 words. Papers and abstracts can be in English or in French, and should be sent to </w:t>
      </w:r>
      <w:hyperlink r:id="rId7" w:history="1">
        <w:r w:rsidRPr="00700168">
          <w:rPr>
            <w:rStyle w:val="Hyperlink0"/>
            <w:rFonts w:ascii="Times Roman" w:hAnsi="Times Roman"/>
            <w:color w:val="0070C0"/>
            <w:sz w:val="22"/>
            <w:szCs w:val="22"/>
          </w:rPr>
          <w:t>brecht.degroote@ugent.be</w:t>
        </w:r>
      </w:hyperlink>
      <w:r>
        <w:rPr>
          <w:rFonts w:ascii="Times Roman" w:hAnsi="Times Roman"/>
          <w:sz w:val="22"/>
          <w:szCs w:val="22"/>
        </w:rPr>
        <w:t>.</w:t>
      </w:r>
    </w:p>
    <w:p w14:paraId="7584D331" w14:textId="71A4F4BB" w:rsidR="00504B46" w:rsidRDefault="00966938">
      <w:pPr>
        <w:pStyle w:val="Default"/>
        <w:spacing w:before="0" w:after="240" w:line="240" w:lineRule="auto"/>
        <w:rPr>
          <w:rFonts w:ascii="Times Roman" w:eastAsia="Times Roman" w:hAnsi="Times Roman" w:cs="Times Roman"/>
          <w:sz w:val="22"/>
          <w:szCs w:val="22"/>
        </w:rPr>
      </w:pPr>
      <w:r>
        <w:rPr>
          <w:rFonts w:ascii="Times Roman" w:hAnsi="Times Roman"/>
          <w:sz w:val="22"/>
          <w:szCs w:val="22"/>
        </w:rPr>
        <w:t>The symposium will take place at Ghent University, on 11 February 2022. No conference fee will be due from presenters.</w:t>
      </w:r>
    </w:p>
    <w:p w14:paraId="03A6F2DE" w14:textId="77777777" w:rsidR="00504B46" w:rsidRDefault="00966938">
      <w:pPr>
        <w:pStyle w:val="Default"/>
        <w:spacing w:before="0" w:after="240" w:line="240" w:lineRule="auto"/>
      </w:pPr>
      <w:r>
        <w:rPr>
          <w:rFonts w:ascii="Times Roman" w:hAnsi="Times Roman"/>
          <w:sz w:val="22"/>
          <w:szCs w:val="22"/>
        </w:rPr>
        <w:t>Organising committee: Brecht de Groote, Lieve Jooken, Sonja Lavaert, and Guy Rooryck.</w:t>
      </w:r>
    </w:p>
    <w:sectPr w:rsidR="00504B4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711A5" w14:textId="77777777" w:rsidR="00234298" w:rsidRDefault="00234298">
      <w:r>
        <w:separator/>
      </w:r>
    </w:p>
  </w:endnote>
  <w:endnote w:type="continuationSeparator" w:id="0">
    <w:p w14:paraId="226D1A01" w14:textId="77777777" w:rsidR="00234298" w:rsidRDefault="0023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822E" w14:textId="77777777" w:rsidR="00504B46" w:rsidRDefault="00504B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85B7" w14:textId="77777777" w:rsidR="00234298" w:rsidRDefault="00234298">
      <w:r>
        <w:separator/>
      </w:r>
    </w:p>
  </w:footnote>
  <w:footnote w:type="continuationSeparator" w:id="0">
    <w:p w14:paraId="00B6E515" w14:textId="77777777" w:rsidR="00234298" w:rsidRDefault="0023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0B39" w14:textId="77777777" w:rsidR="00504B46" w:rsidRDefault="00504B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3651B"/>
    <w:multiLevelType w:val="hybridMultilevel"/>
    <w:tmpl w:val="19AAEF42"/>
    <w:lvl w:ilvl="0" w:tplc="3E84AE92">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82DD0E">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C7E5C9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8BEA476">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7A202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74E72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7AA8B86">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987278">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5A58C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B46"/>
    <w:rsid w:val="001160CE"/>
    <w:rsid w:val="00234298"/>
    <w:rsid w:val="00504B46"/>
    <w:rsid w:val="00700168"/>
    <w:rsid w:val="008936ED"/>
    <w:rsid w:val="009669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DCA9"/>
  <w15:docId w15:val="{B98A33FF-68E3-F74A-9665-9B8E0428A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cht.degroote@ugent.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Lieve Jooken</cp:lastModifiedBy>
  <cp:revision>4</cp:revision>
  <dcterms:created xsi:type="dcterms:W3CDTF">2021-11-16T09:21:00Z</dcterms:created>
  <dcterms:modified xsi:type="dcterms:W3CDTF">2021-11-19T11:35:00Z</dcterms:modified>
</cp:coreProperties>
</file>